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20"/>
      </w:pPr>
      <w:r>
        <w:t xml:space="preserve">ART. ___ — FORNITURA E POSA IN OPERA DI PENSILINA DI FERMATA PER IL TRASPORTO PUBBLICO CON STRUTTURA IN PROFILI PULTRUSI DI VETRORESINA (PRFV)</w:t>
      </w:r>
    </w:p>
    <w:p>
      <w:pPr>
        <w:spacing w:after="360"/>
      </w:pPr>
      <w:r>
        <w:rPr>
          <w:i/>
          <w:iCs/>
          <w:color w:val="6E6864"/>
          <w:sz w:val="18"/>
          <w:szCs w:val="18"/>
        </w:rPr>
        <w:t xml:space="preserve">Rev. 01 — agosto 2026</w:t>
      </w:r>
    </w:p>
    <w:p>
      <w:pPr>
        <w:spacing w:after="100" w:before="240"/>
      </w:pPr>
      <w:r>
        <w:rPr>
          <w:b/>
          <w:bCs/>
        </w:rPr>
        <w:t xml:space="preserve">1. Oggetto</w:t>
      </w:r>
    </w:p>
    <w:p>
      <w:pPr>
        <w:spacing w:after="120"/>
        <w:jc w:val="both"/>
      </w:pPr>
      <w:r>
        <w:t xml:space="preserve">Fornitura, trasporto, assemblaggio e posa in opera di n. </w:t>
      </w:r>
      <w:r>
        <w:rPr>
          <w:i/>
          <w:iCs/>
        </w:rPr>
        <w:t xml:space="preserve">[__]</w:t>
      </w:r>
      <w:r>
        <w:t xml:space="preserve"> pensiline di attesa per fermata del trasporto pubblico locale, di dimensioni in pianta </w:t>
      </w:r>
      <w:r>
        <w:rPr>
          <w:i/>
          <w:iCs/>
        </w:rPr>
        <w:t xml:space="preserve">[__ × __]</w:t>
      </w:r>
      <w:r>
        <w:t xml:space="preserve"> m e altezza libera sotto trave non inferiore a </w:t>
      </w:r>
      <w:r>
        <w:rPr>
          <w:i/>
          <w:iCs/>
        </w:rPr>
        <w:t xml:space="preserve">[2,20]</w:t>
      </w:r>
      <w:r>
        <w:t xml:space="preserve"> m, complete di struttura portante, copertura, tamponamenti, sistema di ancoraggio e accessori come di seguito specificato. Sono compresi gli oneri di scarico, montaggio, allineamento, serraggio a coppia controllata, pulizia finale e consegna della documentazione di cui al punto 7.</w:t>
      </w:r>
    </w:p>
    <w:p>
      <w:pPr>
        <w:spacing w:after="100" w:before="240"/>
      </w:pPr>
      <w:r>
        <w:rPr>
          <w:b/>
          <w:bCs/>
        </w:rPr>
        <w:t xml:space="preserve">2. Struttura portante</w:t>
      </w:r>
    </w:p>
    <w:p>
      <w:pPr>
        <w:spacing w:after="120"/>
        <w:jc w:val="both"/>
      </w:pPr>
      <w:r>
        <w:t xml:space="preserve">Montanti, travi principali e arcarecci in profili pultrusi di resina poliestere/vinilestere rinforzata con fibra di vetro (PRFV), qualificati secondo UNI EN 13706 con classe prestazionale minima E23. Il colore è pigmentato in massa nella resina e la protezione UV è incorporata nel processo di pultrusione: non è ammessa la sostituzione della pigmentazione in massa con cicli di verniciatura superficiale. Tinta </w:t>
      </w:r>
      <w:r>
        <w:rPr>
          <w:i/>
          <w:iCs/>
        </w:rPr>
        <w:t xml:space="preserve">[RAL __]</w:t>
      </w:r>
      <w:r>
        <w:t xml:space="preserve">, a scelta della Direzione Lavori entro la gamma resa disponibile dal fornitore.</w:t>
      </w:r>
    </w:p>
    <w:p>
      <w:pPr>
        <w:spacing w:after="100" w:before="240"/>
      </w:pPr>
      <w:r>
        <w:rPr>
          <w:b/>
          <w:bCs/>
        </w:rPr>
        <w:t xml:space="preserve">3. Connessioni</w:t>
      </w:r>
    </w:p>
    <w:p>
      <w:pPr>
        <w:spacing w:after="120"/>
        <w:jc w:val="both"/>
      </w:pPr>
      <w:r>
        <w:t xml:space="preserve">Tutti gli elementi di giunzione, la bulloneria, le piastre e le staffe di ancoraggio sono in acciaio inossidabile austenitico AISI 316/316L. Non è ammesso l'impiego di acciaio zincato o verniciato in alcun elemento di collegamento, ancoraggio o minuteria. Le interfacce acciaio–PRFV sono realizzate con superfici di contatto piane e serraggio secondo le coppie prescritte dal fabbricante.</w:t>
      </w:r>
    </w:p>
    <w:p>
      <w:pPr>
        <w:spacing w:after="100" w:before="240"/>
      </w:pPr>
      <w:r>
        <w:rPr>
          <w:b/>
          <w:bCs/>
        </w:rPr>
        <w:t xml:space="preserve">4. Copertura e tamponamenti</w:t>
      </w:r>
    </w:p>
    <w:p>
      <w:pPr>
        <w:spacing w:after="120"/>
        <w:jc w:val="both"/>
      </w:pPr>
      <w:r>
        <w:t xml:space="preserve">Copertura e pannellature trasparenti in lastre di policarbonato </w:t>
      </w:r>
      <w:r>
        <w:rPr>
          <w:i/>
          <w:iCs/>
        </w:rPr>
        <w:t xml:space="preserve">[compatto / alveolare]</w:t>
      </w:r>
      <w:r>
        <w:t xml:space="preserve"> di spessore non inferiore a </w:t>
      </w:r>
      <w:r>
        <w:rPr>
          <w:i/>
          <w:iCs/>
        </w:rPr>
        <w:t xml:space="preserve">[__]</w:t>
      </w:r>
      <w:r>
        <w:t xml:space="preserve"> mm, con protezione UV coestrusa sulla faccia esposta e garanzia del produttore contro l'ingiallimento e la perdita di trasmissione luminosa. Tamponamenti laterali </w:t>
      </w:r>
      <w:r>
        <w:rPr>
          <w:i/>
          <w:iCs/>
        </w:rPr>
        <w:t xml:space="preserve">[in policarbonato / in pannello di PRFV]</w:t>
      </w:r>
      <w:r>
        <w:t xml:space="preserve"> secondo l'abaco di progetto. Canali di gronda e smaltimento delle acque meteoriche integrati nella struttura, realizzati in PRFV.</w:t>
      </w:r>
    </w:p>
    <w:p>
      <w:pPr>
        <w:spacing w:after="100" w:before="240"/>
      </w:pPr>
      <w:r>
        <w:rPr>
          <w:b/>
          <w:bCs/>
        </w:rPr>
        <w:t xml:space="preserve">5. Progettazione e verifiche strutturali</w:t>
      </w:r>
    </w:p>
    <w:p>
      <w:pPr>
        <w:spacing w:after="120"/>
        <w:jc w:val="both"/>
      </w:pPr>
      <w:r>
        <w:t xml:space="preserve">La struttura è calcolata per una vita nominale di progetto di 50 anni. Le azioni di neve, vento e sisma sono assunte secondo il D.M. 17/01/2018 (NTC 2018) e la Circolare 21/01/2019 n. 7, con i parametri della località di installazione; le basi della progettazione secondo UNI EN 1990:2006. Le verifiche degli elementi in composito fibrorinforzato sono condotte secondo CNR-DT 205/2007 e UNI CEN/TS 19101, applicando i coefficienti di conversione per gli effetti ambientali e per la durata del carico ivi previsti. Deformazione massima in esercizio non superiore a L/</w:t>
      </w:r>
      <w:r>
        <w:rPr>
          <w:i/>
          <w:iCs/>
        </w:rPr>
        <w:t xml:space="preserve">[250]</w:t>
      </w:r>
      <w:r>
        <w:t xml:space="preserve">. Il sistema di ancoraggio al piano di posa è dimensionato dal fornitore sulla base delle caratteristiche del sottofondo comunicate dalla Stazione Appaltante. La struttura, dielettrica per natura, non richiede messa a terra strutturale; resta fermo l'obbligo di messa a terra e di dichiarazione di conformità per gli eventuali impianti elettrici installati.</w:t>
      </w:r>
    </w:p>
    <w:p>
      <w:pPr>
        <w:spacing w:after="100" w:before="240"/>
      </w:pPr>
      <w:r>
        <w:rPr>
          <w:b/>
          <w:bCs/>
        </w:rPr>
        <w:t xml:space="preserve">6. Marcatura CE e conformità ambientale</w:t>
      </w:r>
    </w:p>
    <w:p>
      <w:pPr>
        <w:spacing w:after="120"/>
        <w:jc w:val="both"/>
      </w:pPr>
      <w:r>
        <w:t xml:space="preserve">I prodotti da costruzione impiegati — struttura in PRFV, componenti in policarbonato, elementi di connessione in acciaio inossidabile — sono immessi sul mercato con marcatura CE, accompagnati dalla relativa Dichiarazione di Prestazione (DoP) redatta ai sensi del Regolamento (UE) n. 305/2011, che l'Appaltatore consegna alla Stazione Appaltante prima dell'inizio della posa in opera. La fornitura è conforme ai Criteri Ambientali Minimi per l'affidamento del servizio di fornitura e posa in opera di prodotti di arredo urbano e arredi esterni, approvati con Decreto del Ministero dell'Ambiente e della Sicurezza Energetica 7 febbraio 2023, applicabili ai sensi dell'art. 57 del D.Lgs. 36/2023. La conformità a ciascun criterio è comprovata con i mezzi di verifica previsti dal medesimo decreto, prodotti in sede di offerta e verificati prima della stipula.</w:t>
      </w:r>
    </w:p>
    <w:p>
      <w:pPr>
        <w:spacing w:after="100" w:before="240"/>
      </w:pPr>
      <w:r>
        <w:rPr>
          <w:b/>
          <w:bCs/>
        </w:rPr>
        <w:t xml:space="preserve">7. Documentazione da consegnare</w:t>
      </w:r>
    </w:p>
    <w:p>
      <w:pPr>
        <w:spacing w:after="120"/>
        <w:jc w:val="both"/>
      </w:pPr>
      <w:r>
        <w:t xml:space="preserve">L'Appaltatore consegna, prima dell'inizio della posa: a) Dichiarazione di Prestazione (DoP) ai sensi del Reg. (UE) 305/2011 di tutti i componenti marcati CE, con relativa etichettatura; b) schede tecniche dei profili pultrusi con indicazione della classe UNI EN 13706 e dei valori caratteristici assunti nel calcolo; c) relazione di calcolo strutturale a firma di tecnico abilitato, con le verifiche di cui al punto 5; d) elaborati costruttivi e di montaggio, comprensivi dei particolari di ancoraggio; e) documentazione di comprova dei CAM applicabili, per ciascun criterio; f) manuale d'uso e manutenzione con il piano delle ispezioni programmate; g) dichiarazione di corretta posa in opera a firma dell'installatore.</w:t>
      </w:r>
    </w:p>
    <w:p>
      <w:pPr>
        <w:spacing w:after="100" w:before="240"/>
      </w:pPr>
      <w:r>
        <w:rPr>
          <w:b/>
          <w:bCs/>
        </w:rPr>
        <w:t xml:space="preserve">8. Garanzia, manutenzione e ricambi</w:t>
      </w:r>
    </w:p>
    <w:p>
      <w:pPr>
        <w:spacing w:after="120"/>
        <w:jc w:val="both"/>
      </w:pPr>
      <w:r>
        <w:t xml:space="preserve">Garanzia di </w:t>
      </w:r>
      <w:r>
        <w:rPr>
          <w:i/>
          <w:iCs/>
        </w:rPr>
        <w:t xml:space="preserve">[__]</w:t>
      </w:r>
      <w:r>
        <w:t xml:space="preserve"> anni sulla struttura portante e di </w:t>
      </w:r>
      <w:r>
        <w:rPr>
          <w:i/>
          <w:iCs/>
        </w:rPr>
        <w:t xml:space="preserve">[__]</w:t>
      </w:r>
      <w:r>
        <w:t xml:space="preserve"> anni sugli elementi in policarbonato. Il piano di manutenzione prevede ispezione visiva programmata con verifica dei serraggi e pulizia delle superfici; non sono previsti cicli di riverniciatura, zincatura o trattamenti protettivi da rinnovare nell'arco della vita di progetto. Gli elementi sono singolarmente smontabili e sostituibili; l'Appaltatore garantisce la disponibilità dei ricambi per </w:t>
      </w:r>
      <w:r>
        <w:rPr>
          <w:i/>
          <w:iCs/>
        </w:rPr>
        <w:t xml:space="preserve">[__]</w:t>
      </w:r>
      <w:r>
        <w:t xml:space="preserve"> anni dalla data di collaudo.</w:t>
      </w:r>
    </w:p>
    <w:p>
      <w:pPr>
        <w:spacing w:after="100" w:before="240"/>
      </w:pPr>
      <w:r>
        <w:rPr>
          <w:b/>
          <w:bCs/>
        </w:rPr>
        <w:t xml:space="preserve">9. Equivalenza</w:t>
      </w:r>
    </w:p>
    <w:p>
      <w:pPr>
        <w:spacing w:after="120"/>
        <w:jc w:val="both"/>
      </w:pPr>
      <w:r>
        <w:t xml:space="preserve">Ai sensi della disciplina delle specifiche tecniche del Codice dei contratti pubblici, sono ammessi prodotti diversi da quelli descritti purché l'operatore economico dimostri, con mezzi di prova appropriati, che le soluzioni proposte ottemperano in maniera equivalente ai requisiti prestazionali definiti dal presente articolo.</w:t>
      </w:r>
    </w:p>
    <w:p>
      <w:pPr>
        <w:pBdr>
          <w:top w:val="single" w:color="CCCCCC" w:sz="4" w:space="12"/>
        </w:pBdr>
        <w:spacing w:before="480"/>
      </w:pPr>
      <w:r>
        <w:rPr>
          <w:i/>
          <w:iCs/>
          <w:color w:val="6E6864"/>
          <w:sz w:val="16"/>
          <w:szCs w:val="16"/>
        </w:rPr>
        <w:t xml:space="preserve">Testo fornito a titolo di supporto alla redazione degli atti di gara. Non costituisce elaborato progettuale né sostituisce le valutazioni del progettista e del RUP, cui competono la verifica dei riferimenti normativi vigenti alla data della procedura, la determinazione dei parametri di carico della località e la definizione dei mezzi di verifica dei CAM richiesti in sede di offerta. I riferimenti normativi sono aggiornati ad agosto 2026. La documentazione di prodotto — schede tecniche e Dichiarazioni di Prestazione — è disponibile su richiesta.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2026-08-11T11:02:47.454Z</dcterms:created>
  <dcterms:modified xsi:type="dcterms:W3CDTF">2026-08-11T11:02:47.454Z</dcterms:modified>
</cp:coreProperties>
</file>

<file path=docProps/custom.xml><?xml version="1.0" encoding="utf-8"?>
<Properties xmlns="http://schemas.openxmlformats.org/officeDocument/2006/custom-properties" xmlns:vt="http://schemas.openxmlformats.org/officeDocument/2006/docPropsVTypes"/>
</file>